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D63" w:rsidRPr="00633C0D" w:rsidRDefault="00633C0D">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D91991" w:rsidRPr="00633C0D">
        <w:rPr>
          <w:rFonts w:asciiTheme="majorEastAsia" w:eastAsiaTheme="majorEastAsia" w:hAnsiTheme="majorEastAsia"/>
          <w:sz w:val="28"/>
          <w:szCs w:val="28"/>
        </w:rPr>
        <w:t>港湾法による船舶等の放置に対する罰則（一部抜粋）</w:t>
      </w:r>
    </w:p>
    <w:p w:rsidR="00D91991" w:rsidRPr="00633C0D" w:rsidRDefault="00D91991" w:rsidP="00D91991">
      <w:pPr>
        <w:widowControl/>
        <w:jc w:val="left"/>
        <w:rPr>
          <w:rFonts w:asciiTheme="majorEastAsia" w:eastAsiaTheme="majorEastAsia" w:hAnsiTheme="majorEastAsia" w:cs="ＭＳ Ｐゴシック"/>
          <w:b/>
          <w:color w:val="111111"/>
          <w:kern w:val="0"/>
          <w:sz w:val="28"/>
          <w:szCs w:val="28"/>
        </w:rPr>
      </w:pPr>
      <w:r w:rsidRPr="00633C0D">
        <w:rPr>
          <w:rFonts w:asciiTheme="majorEastAsia" w:eastAsiaTheme="majorEastAsia" w:hAnsiTheme="majorEastAsia" w:cs="ＭＳ Ｐゴシック" w:hint="eastAsia"/>
          <w:b/>
          <w:color w:val="111111"/>
          <w:kern w:val="0"/>
          <w:sz w:val="28"/>
          <w:szCs w:val="28"/>
        </w:rPr>
        <w:t>（禁止行為）</w:t>
      </w:r>
    </w:p>
    <w:p w:rsidR="00D91991" w:rsidRPr="00633C0D" w:rsidRDefault="00D91991" w:rsidP="00D91991">
      <w:pPr>
        <w:widowControl/>
        <w:jc w:val="left"/>
        <w:rPr>
          <w:rFonts w:asciiTheme="majorEastAsia" w:eastAsiaTheme="majorEastAsia" w:hAnsiTheme="majorEastAsia" w:cs="ＭＳ Ｐゴシック"/>
          <w:color w:val="111111"/>
          <w:kern w:val="0"/>
          <w:szCs w:val="21"/>
        </w:rPr>
      </w:pPr>
      <w:bookmarkStart w:id="0" w:name="346-4"/>
      <w:bookmarkEnd w:id="0"/>
      <w:r w:rsidRPr="00633C0D">
        <w:rPr>
          <w:rFonts w:asciiTheme="majorEastAsia" w:eastAsiaTheme="majorEastAsia" w:hAnsiTheme="majorEastAsia" w:cs="ＭＳ Ｐゴシック" w:hint="eastAsia"/>
          <w:b/>
          <w:bCs/>
          <w:color w:val="111111"/>
          <w:kern w:val="0"/>
          <w:szCs w:val="21"/>
        </w:rPr>
        <w:t xml:space="preserve">第三十七条の十一　</w:t>
      </w:r>
      <w:r w:rsidRPr="00633C0D">
        <w:rPr>
          <w:rFonts w:asciiTheme="majorEastAsia" w:eastAsiaTheme="majorEastAsia" w:hAnsiTheme="majorEastAsia" w:cs="ＭＳ Ｐゴシック" w:hint="eastAsia"/>
          <w:color w:val="111111"/>
          <w:kern w:val="0"/>
          <w:szCs w:val="21"/>
        </w:rPr>
        <w:t>何人も、港湾区域、港湾隣接地域、臨港地区又は第二条第六項の規定により国土交通大臣の認定した港湾施設の区域（これらのうち、港湾施設の利用、配置その他の状況により、港湾の開発、利用又は保全上特に必要があると認めて港湾管理者が指定した区域に限る。）内において、みだりに、船舶その他の物件で港湾管理者が指定したものを捨て、又は放置してはならない。</w:t>
      </w:r>
    </w:p>
    <w:p w:rsidR="00D91991" w:rsidRPr="00633C0D" w:rsidRDefault="00D91991" w:rsidP="00D91991">
      <w:pPr>
        <w:widowControl/>
        <w:jc w:val="left"/>
        <w:rPr>
          <w:rFonts w:asciiTheme="majorEastAsia" w:eastAsiaTheme="majorEastAsia" w:hAnsiTheme="majorEastAsia" w:cs="ＭＳ Ｐゴシック"/>
          <w:color w:val="111111"/>
          <w:kern w:val="0"/>
          <w:szCs w:val="21"/>
        </w:rPr>
      </w:pPr>
      <w:bookmarkStart w:id="1" w:name="347-1"/>
      <w:bookmarkEnd w:id="1"/>
      <w:r w:rsidRPr="00633C0D">
        <w:rPr>
          <w:rFonts w:asciiTheme="majorEastAsia" w:eastAsiaTheme="majorEastAsia" w:hAnsiTheme="majorEastAsia" w:cs="ＭＳ Ｐゴシック" w:hint="eastAsia"/>
          <w:color w:val="111111"/>
          <w:kern w:val="0"/>
          <w:szCs w:val="21"/>
        </w:rPr>
        <w:t>２　港湾管理者は、前項の規定による区域又は物件の指定をするときは、国土交通省令で定めるところにより、その旨を公示しなければならない。これを廃止するときも、同様とする。</w:t>
      </w:r>
    </w:p>
    <w:p w:rsidR="00D91991" w:rsidRPr="00633C0D" w:rsidRDefault="00D91991" w:rsidP="00D91991">
      <w:pPr>
        <w:widowControl/>
        <w:jc w:val="left"/>
        <w:rPr>
          <w:rFonts w:asciiTheme="majorEastAsia" w:eastAsiaTheme="majorEastAsia" w:hAnsiTheme="majorEastAsia" w:cs="ＭＳ Ｐゴシック"/>
          <w:color w:val="111111"/>
          <w:kern w:val="0"/>
          <w:szCs w:val="21"/>
        </w:rPr>
      </w:pPr>
      <w:bookmarkStart w:id="2" w:name="348-1"/>
      <w:bookmarkEnd w:id="2"/>
      <w:r w:rsidRPr="00633C0D">
        <w:rPr>
          <w:rFonts w:asciiTheme="majorEastAsia" w:eastAsiaTheme="majorEastAsia" w:hAnsiTheme="majorEastAsia" w:cs="ＭＳ Ｐゴシック" w:hint="eastAsia"/>
          <w:color w:val="111111"/>
          <w:kern w:val="0"/>
          <w:szCs w:val="21"/>
        </w:rPr>
        <w:t>３　前項の指定又はその廃止は、同項の公示に</w:t>
      </w:r>
      <w:proofErr w:type="gramStart"/>
      <w:r w:rsidRPr="00633C0D">
        <w:rPr>
          <w:rFonts w:asciiTheme="majorEastAsia" w:eastAsiaTheme="majorEastAsia" w:hAnsiTheme="majorEastAsia" w:cs="ＭＳ Ｐゴシック" w:hint="eastAsia"/>
          <w:color w:val="111111"/>
          <w:kern w:val="0"/>
          <w:szCs w:val="21"/>
        </w:rPr>
        <w:t>よつて</w:t>
      </w:r>
      <w:proofErr w:type="gramEnd"/>
      <w:r w:rsidRPr="00633C0D">
        <w:rPr>
          <w:rFonts w:asciiTheme="majorEastAsia" w:eastAsiaTheme="majorEastAsia" w:hAnsiTheme="majorEastAsia" w:cs="ＭＳ Ｐゴシック" w:hint="eastAsia"/>
          <w:color w:val="111111"/>
          <w:kern w:val="0"/>
          <w:szCs w:val="21"/>
        </w:rPr>
        <w:t>その効力を生ずる。</w:t>
      </w:r>
    </w:p>
    <w:p w:rsidR="00D91991" w:rsidRPr="00633C0D" w:rsidRDefault="00D91991" w:rsidP="00D91991">
      <w:pPr>
        <w:widowControl/>
        <w:jc w:val="left"/>
        <w:rPr>
          <w:rFonts w:asciiTheme="majorEastAsia" w:eastAsiaTheme="majorEastAsia" w:hAnsiTheme="majorEastAsia" w:cs="ＭＳ Ｐゴシック"/>
          <w:color w:val="111111"/>
          <w:kern w:val="0"/>
          <w:szCs w:val="21"/>
        </w:rPr>
      </w:pPr>
    </w:p>
    <w:p w:rsidR="00D91991" w:rsidRPr="00633C0D" w:rsidRDefault="00D91991" w:rsidP="00D91991">
      <w:pPr>
        <w:widowControl/>
        <w:jc w:val="left"/>
        <w:rPr>
          <w:rFonts w:asciiTheme="majorEastAsia" w:eastAsiaTheme="majorEastAsia" w:hAnsiTheme="majorEastAsia" w:cs="ＭＳ Ｐゴシック"/>
          <w:b/>
          <w:color w:val="111111"/>
          <w:kern w:val="0"/>
          <w:sz w:val="28"/>
          <w:szCs w:val="28"/>
        </w:rPr>
      </w:pPr>
      <w:bookmarkStart w:id="3" w:name="349-4"/>
      <w:bookmarkStart w:id="4" w:name="1080-3"/>
      <w:bookmarkStart w:id="5" w:name="1082-3"/>
      <w:bookmarkStart w:id="6" w:name="3634-0"/>
      <w:bookmarkEnd w:id="3"/>
      <w:bookmarkEnd w:id="4"/>
      <w:bookmarkEnd w:id="5"/>
      <w:bookmarkEnd w:id="6"/>
      <w:r w:rsidRPr="00633C0D">
        <w:rPr>
          <w:rFonts w:asciiTheme="majorEastAsia" w:eastAsiaTheme="majorEastAsia" w:hAnsiTheme="majorEastAsia" w:cs="ＭＳ Ｐゴシック" w:hint="eastAsia"/>
          <w:b/>
          <w:color w:val="111111"/>
          <w:kern w:val="0"/>
          <w:sz w:val="28"/>
          <w:szCs w:val="28"/>
        </w:rPr>
        <w:t>（罰則）</w:t>
      </w:r>
    </w:p>
    <w:p w:rsidR="00D91991" w:rsidRPr="00633C0D" w:rsidRDefault="00D91991" w:rsidP="00D91991">
      <w:pPr>
        <w:widowControl/>
        <w:jc w:val="left"/>
        <w:rPr>
          <w:rFonts w:asciiTheme="majorEastAsia" w:eastAsiaTheme="majorEastAsia" w:hAnsiTheme="majorEastAsia" w:cs="ＭＳ Ｐゴシック"/>
          <w:color w:val="111111"/>
          <w:kern w:val="0"/>
          <w:szCs w:val="21"/>
        </w:rPr>
      </w:pPr>
      <w:bookmarkStart w:id="7" w:name="3635-0"/>
      <w:bookmarkEnd w:id="7"/>
      <w:r w:rsidRPr="00633C0D">
        <w:rPr>
          <w:rFonts w:asciiTheme="majorEastAsia" w:eastAsiaTheme="majorEastAsia" w:hAnsiTheme="majorEastAsia" w:cs="ＭＳ Ｐゴシック" w:hint="eastAsia"/>
          <w:b/>
          <w:bCs/>
          <w:color w:val="111111"/>
          <w:kern w:val="0"/>
          <w:szCs w:val="21"/>
        </w:rPr>
        <w:t xml:space="preserve">第六十一条　</w:t>
      </w:r>
      <w:r w:rsidRPr="00633C0D">
        <w:rPr>
          <w:rFonts w:asciiTheme="majorEastAsia" w:eastAsiaTheme="majorEastAsia" w:hAnsiTheme="majorEastAsia" w:cs="ＭＳ Ｐゴシック" w:hint="eastAsia"/>
          <w:color w:val="111111"/>
          <w:kern w:val="0"/>
          <w:szCs w:val="21"/>
        </w:rPr>
        <w:t>地方公共団体の職員又は港務局の委員、監事若しくは職員が、第三十七条の六第一項の規定による認定に関し、その職務に反し、当該認定を受けようとする者に談合を唆すこと、当該認定を受けようとする者に当該認定に係る公募（以下「占用公募」という。）に関する秘密を教示すること又はその他の方法により、当該占用公募の公正を害すべき行為を行つたときは、五年以下の懲役又は二百五十万円以下の罰金に処する。</w:t>
      </w:r>
    </w:p>
    <w:p w:rsidR="00D91991" w:rsidRPr="00633C0D" w:rsidRDefault="00D91991">
      <w:pPr>
        <w:rPr>
          <w:rFonts w:asciiTheme="majorEastAsia" w:eastAsiaTheme="majorEastAsia" w:hAnsiTheme="majorEastAsia"/>
          <w:szCs w:val="21"/>
        </w:rPr>
      </w:pPr>
    </w:p>
    <w:p w:rsidR="00633C0D" w:rsidRDefault="00633C0D">
      <w:pPr>
        <w:rPr>
          <w:rFonts w:asciiTheme="majorEastAsia" w:eastAsiaTheme="majorEastAsia" w:hAnsiTheme="majorEastAsia"/>
          <w:szCs w:val="21"/>
        </w:rPr>
      </w:pPr>
    </w:p>
    <w:p w:rsidR="00633C0D" w:rsidRPr="00633C0D" w:rsidRDefault="00633C0D">
      <w:pPr>
        <w:rPr>
          <w:rFonts w:asciiTheme="majorEastAsia" w:eastAsiaTheme="majorEastAsia" w:hAnsiTheme="majorEastAsia" w:hint="eastAsia"/>
          <w:szCs w:val="21"/>
        </w:rPr>
      </w:pPr>
      <w:bookmarkStart w:id="8" w:name="_GoBack"/>
      <w:bookmarkEnd w:id="8"/>
    </w:p>
    <w:p w:rsidR="00633C0D" w:rsidRPr="00633C0D" w:rsidRDefault="00633C0D" w:rsidP="00633C0D">
      <w:pP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w:t>
      </w:r>
      <w:r w:rsidRPr="00633C0D">
        <w:rPr>
          <w:rFonts w:asciiTheme="majorEastAsia" w:eastAsiaTheme="majorEastAsia" w:hAnsiTheme="majorEastAsia" w:hint="eastAsia"/>
          <w:sz w:val="28"/>
          <w:szCs w:val="28"/>
        </w:rPr>
        <w:t>漁港漁場整備法による船舶等の放置に対する罰則（一部抜粋）</w:t>
      </w:r>
    </w:p>
    <w:p w:rsidR="00633C0D" w:rsidRPr="00633C0D" w:rsidRDefault="00633C0D" w:rsidP="00633C0D">
      <w:pPr>
        <w:rPr>
          <w:rFonts w:asciiTheme="majorEastAsia" w:eastAsiaTheme="majorEastAsia" w:hAnsiTheme="majorEastAsia" w:hint="eastAsia"/>
          <w:b/>
          <w:sz w:val="28"/>
          <w:szCs w:val="28"/>
        </w:rPr>
      </w:pPr>
      <w:r w:rsidRPr="00633C0D">
        <w:rPr>
          <w:rFonts w:asciiTheme="majorEastAsia" w:eastAsiaTheme="majorEastAsia" w:hAnsiTheme="majorEastAsia" w:hint="eastAsia"/>
          <w:b/>
          <w:sz w:val="28"/>
          <w:szCs w:val="28"/>
        </w:rPr>
        <w:t>（罰則）</w:t>
      </w:r>
    </w:p>
    <w:p w:rsidR="00633C0D" w:rsidRPr="00633C0D" w:rsidRDefault="00633C0D" w:rsidP="00633C0D">
      <w:pPr>
        <w:widowControl/>
        <w:shd w:val="clear" w:color="auto" w:fill="FFFEFA"/>
        <w:jc w:val="left"/>
        <w:rPr>
          <w:rFonts w:asciiTheme="majorEastAsia" w:eastAsiaTheme="majorEastAsia" w:hAnsiTheme="majorEastAsia" w:cs="ＭＳ Ｐゴシック" w:hint="eastAsia"/>
          <w:color w:val="111111"/>
          <w:kern w:val="0"/>
          <w:szCs w:val="21"/>
        </w:rPr>
      </w:pPr>
      <w:r w:rsidRPr="00633C0D">
        <w:rPr>
          <w:rFonts w:asciiTheme="majorEastAsia" w:eastAsiaTheme="majorEastAsia" w:hAnsiTheme="majorEastAsia" w:cs="ＭＳ Ｐゴシック" w:hint="eastAsia"/>
          <w:b/>
          <w:bCs/>
          <w:color w:val="111111"/>
          <w:kern w:val="0"/>
          <w:szCs w:val="21"/>
        </w:rPr>
        <w:t xml:space="preserve">第四十五条　</w:t>
      </w:r>
      <w:r w:rsidRPr="00633C0D">
        <w:rPr>
          <w:rFonts w:asciiTheme="majorEastAsia" w:eastAsiaTheme="majorEastAsia" w:hAnsiTheme="majorEastAsia" w:cs="ＭＳ Ｐゴシック" w:hint="eastAsia"/>
          <w:kern w:val="0"/>
          <w:szCs w:val="21"/>
        </w:rPr>
        <w:t>次の各号</w:t>
      </w:r>
      <w:r w:rsidRPr="00633C0D">
        <w:rPr>
          <w:rFonts w:asciiTheme="majorEastAsia" w:eastAsiaTheme="majorEastAsia" w:hAnsiTheme="majorEastAsia" w:cs="ＭＳ Ｐゴシック" w:hint="eastAsia"/>
          <w:color w:val="111111"/>
          <w:kern w:val="0"/>
          <w:szCs w:val="21"/>
        </w:rPr>
        <w:t>のいずれかに該当する者は、五十万円以下の罰金に処する。</w:t>
      </w:r>
    </w:p>
    <w:p w:rsidR="00633C0D" w:rsidRPr="00633C0D" w:rsidRDefault="00633C0D" w:rsidP="00633C0D">
      <w:pPr>
        <w:widowControl/>
        <w:shd w:val="clear" w:color="auto" w:fill="FFFEFA"/>
        <w:jc w:val="left"/>
        <w:rPr>
          <w:rFonts w:asciiTheme="majorEastAsia" w:eastAsiaTheme="majorEastAsia" w:hAnsiTheme="majorEastAsia" w:cs="ＭＳ Ｐゴシック" w:hint="eastAsia"/>
          <w:color w:val="111111"/>
          <w:kern w:val="0"/>
          <w:szCs w:val="21"/>
        </w:rPr>
      </w:pPr>
      <w:bookmarkStart w:id="9" w:name="323-0"/>
      <w:bookmarkStart w:id="10" w:name="325-0"/>
      <w:bookmarkEnd w:id="9"/>
      <w:bookmarkEnd w:id="10"/>
      <w:r w:rsidRPr="00633C0D">
        <w:rPr>
          <w:rFonts w:asciiTheme="majorEastAsia" w:eastAsiaTheme="majorEastAsia" w:hAnsiTheme="majorEastAsia" w:cs="ＭＳ Ｐゴシック" w:hint="eastAsia"/>
          <w:color w:val="111111"/>
          <w:kern w:val="0"/>
          <w:szCs w:val="21"/>
        </w:rPr>
        <w:t xml:space="preserve">三　</w:t>
      </w:r>
      <w:r w:rsidRPr="00633C0D">
        <w:rPr>
          <w:rFonts w:asciiTheme="majorEastAsia" w:eastAsiaTheme="majorEastAsia" w:hAnsiTheme="majorEastAsia" w:cs="ＭＳ Ｐゴシック" w:hint="eastAsia"/>
          <w:kern w:val="0"/>
          <w:szCs w:val="21"/>
        </w:rPr>
        <w:t>第三十九条第一項</w:t>
      </w:r>
      <w:r w:rsidRPr="00633C0D">
        <w:rPr>
          <w:rFonts w:asciiTheme="majorEastAsia" w:eastAsiaTheme="majorEastAsia" w:hAnsiTheme="majorEastAsia" w:cs="ＭＳ Ｐゴシック" w:hint="eastAsia"/>
          <w:color w:val="111111"/>
          <w:kern w:val="0"/>
          <w:szCs w:val="21"/>
        </w:rPr>
        <w:t>の許可を受けないで、</w:t>
      </w:r>
      <w:r w:rsidRPr="00633C0D">
        <w:rPr>
          <w:rFonts w:asciiTheme="majorEastAsia" w:eastAsiaTheme="majorEastAsia" w:hAnsiTheme="majorEastAsia" w:cs="ＭＳ Ｐゴシック" w:hint="eastAsia"/>
          <w:kern w:val="0"/>
          <w:szCs w:val="21"/>
        </w:rPr>
        <w:t>同項</w:t>
      </w:r>
      <w:r w:rsidRPr="00633C0D">
        <w:rPr>
          <w:rFonts w:asciiTheme="majorEastAsia" w:eastAsiaTheme="majorEastAsia" w:hAnsiTheme="majorEastAsia" w:cs="ＭＳ Ｐゴシック" w:hint="eastAsia"/>
          <w:color w:val="111111"/>
          <w:kern w:val="0"/>
          <w:szCs w:val="21"/>
        </w:rPr>
        <w:t>の建設、改良、採取、掘削、盛土、放流、放棄又は占用をした者</w:t>
      </w:r>
    </w:p>
    <w:p w:rsidR="00633C0D" w:rsidRPr="00633C0D" w:rsidRDefault="00633C0D" w:rsidP="00633C0D">
      <w:pPr>
        <w:rPr>
          <w:rFonts w:asciiTheme="majorEastAsia" w:eastAsiaTheme="majorEastAsia" w:hAnsiTheme="majorEastAsia" w:hint="eastAsia"/>
          <w:szCs w:val="21"/>
        </w:rPr>
      </w:pPr>
    </w:p>
    <w:p w:rsidR="00633C0D" w:rsidRPr="00633C0D" w:rsidRDefault="00633C0D" w:rsidP="00633C0D">
      <w:pPr>
        <w:rPr>
          <w:rFonts w:asciiTheme="majorEastAsia" w:eastAsiaTheme="majorEastAsia" w:hAnsiTheme="majorEastAsia" w:hint="eastAsia"/>
          <w:szCs w:val="21"/>
        </w:rPr>
      </w:pPr>
      <w:r w:rsidRPr="00633C0D">
        <w:rPr>
          <w:rStyle w:val="font-face-gothic"/>
          <w:rFonts w:asciiTheme="majorEastAsia" w:eastAsiaTheme="majorEastAsia" w:hAnsiTheme="majorEastAsia" w:hint="eastAsia"/>
          <w:color w:val="111111"/>
          <w:szCs w:val="21"/>
        </w:rPr>
        <w:t xml:space="preserve">第三十九条　</w:t>
      </w:r>
      <w:r w:rsidRPr="00633C0D">
        <w:rPr>
          <w:rFonts w:asciiTheme="majorEastAsia" w:eastAsiaTheme="majorEastAsia" w:hAnsiTheme="majorEastAsia" w:hint="eastAsia"/>
          <w:color w:val="111111"/>
          <w:szCs w:val="21"/>
        </w:rPr>
        <w:t>漁港の区域内の水域又は公共空地において、工作物の建設若しくは改良（水面又は土地の占用を伴うものを除く。）、土砂の採取、土地の掘削若しくは盛土、汚水の放流若しくは汚物の放棄又は水面若しくは土地の一部の占用（公有水面の埋立てによる場合を除く。）をしようとする者は、漁港管理者の許可を受けなければならない。ただし、特定漁港漁場整備事業計画若しくは漁港管理規程に</w:t>
      </w:r>
      <w:proofErr w:type="gramStart"/>
      <w:r w:rsidRPr="00633C0D">
        <w:rPr>
          <w:rFonts w:asciiTheme="majorEastAsia" w:eastAsiaTheme="majorEastAsia" w:hAnsiTheme="majorEastAsia" w:hint="eastAsia"/>
          <w:color w:val="111111"/>
          <w:szCs w:val="21"/>
        </w:rPr>
        <w:t>よつて</w:t>
      </w:r>
      <w:proofErr w:type="gramEnd"/>
      <w:r w:rsidRPr="00633C0D">
        <w:rPr>
          <w:rFonts w:asciiTheme="majorEastAsia" w:eastAsiaTheme="majorEastAsia" w:hAnsiTheme="majorEastAsia" w:hint="eastAsia"/>
          <w:color w:val="111111"/>
          <w:szCs w:val="21"/>
        </w:rPr>
        <w:t>する行為又は農林水産省令で定める軽易な行為については、この限りでない。</w:t>
      </w:r>
    </w:p>
    <w:p w:rsidR="00633C0D" w:rsidRPr="00633C0D" w:rsidRDefault="00633C0D">
      <w:pPr>
        <w:rPr>
          <w:rFonts w:asciiTheme="majorEastAsia" w:eastAsiaTheme="majorEastAsia" w:hAnsiTheme="majorEastAsia" w:hint="eastAsia"/>
          <w:szCs w:val="21"/>
        </w:rPr>
      </w:pPr>
    </w:p>
    <w:sectPr w:rsidR="00633C0D" w:rsidRPr="00633C0D" w:rsidSect="00633C0D">
      <w:pgSz w:w="11906" w:h="16838"/>
      <w:pgMar w:top="1440" w:right="1080" w:bottom="1440" w:left="108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C0D" w:rsidRDefault="00633C0D" w:rsidP="00633C0D">
      <w:r>
        <w:separator/>
      </w:r>
    </w:p>
  </w:endnote>
  <w:endnote w:type="continuationSeparator" w:id="0">
    <w:p w:rsidR="00633C0D" w:rsidRDefault="00633C0D" w:rsidP="0063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C0D" w:rsidRDefault="00633C0D" w:rsidP="00633C0D">
      <w:r>
        <w:separator/>
      </w:r>
    </w:p>
  </w:footnote>
  <w:footnote w:type="continuationSeparator" w:id="0">
    <w:p w:rsidR="00633C0D" w:rsidRDefault="00633C0D" w:rsidP="00633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91"/>
    <w:rsid w:val="00633C0D"/>
    <w:rsid w:val="007C3D63"/>
    <w:rsid w:val="00D91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04A34"/>
  <w15:chartTrackingRefBased/>
  <w15:docId w15:val="{06A159E5-36FF-42D2-ACF0-050700F8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face-gothic">
    <w:name w:val="font-face-gothic"/>
    <w:basedOn w:val="a0"/>
    <w:rsid w:val="00D91991"/>
    <w:rPr>
      <w:b/>
      <w:bCs/>
    </w:rPr>
  </w:style>
  <w:style w:type="paragraph" w:styleId="a3">
    <w:name w:val="header"/>
    <w:basedOn w:val="a"/>
    <w:link w:val="a4"/>
    <w:uiPriority w:val="99"/>
    <w:unhideWhenUsed/>
    <w:rsid w:val="00633C0D"/>
    <w:pPr>
      <w:tabs>
        <w:tab w:val="center" w:pos="4252"/>
        <w:tab w:val="right" w:pos="8504"/>
      </w:tabs>
      <w:snapToGrid w:val="0"/>
    </w:pPr>
  </w:style>
  <w:style w:type="character" w:customStyle="1" w:styleId="a4">
    <w:name w:val="ヘッダー (文字)"/>
    <w:basedOn w:val="a0"/>
    <w:link w:val="a3"/>
    <w:uiPriority w:val="99"/>
    <w:rsid w:val="00633C0D"/>
  </w:style>
  <w:style w:type="paragraph" w:styleId="a5">
    <w:name w:val="footer"/>
    <w:basedOn w:val="a"/>
    <w:link w:val="a6"/>
    <w:uiPriority w:val="99"/>
    <w:unhideWhenUsed/>
    <w:rsid w:val="00633C0D"/>
    <w:pPr>
      <w:tabs>
        <w:tab w:val="center" w:pos="4252"/>
        <w:tab w:val="right" w:pos="8504"/>
      </w:tabs>
      <w:snapToGrid w:val="0"/>
    </w:pPr>
  </w:style>
  <w:style w:type="character" w:customStyle="1" w:styleId="a6">
    <w:name w:val="フッター (文字)"/>
    <w:basedOn w:val="a0"/>
    <w:link w:val="a5"/>
    <w:uiPriority w:val="99"/>
    <w:rsid w:val="00633C0D"/>
  </w:style>
  <w:style w:type="character" w:styleId="a7">
    <w:name w:val="Hyperlink"/>
    <w:basedOn w:val="a0"/>
    <w:uiPriority w:val="99"/>
    <w:semiHidden/>
    <w:unhideWhenUsed/>
    <w:rsid w:val="00633C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75549">
      <w:bodyDiv w:val="1"/>
      <w:marLeft w:val="0"/>
      <w:marRight w:val="0"/>
      <w:marTop w:val="0"/>
      <w:marBottom w:val="0"/>
      <w:divBdr>
        <w:top w:val="none" w:sz="0" w:space="0" w:color="auto"/>
        <w:left w:val="none" w:sz="0" w:space="0" w:color="auto"/>
        <w:bottom w:val="none" w:sz="0" w:space="0" w:color="auto"/>
        <w:right w:val="none" w:sz="0" w:space="0" w:color="auto"/>
      </w:divBdr>
      <w:divsChild>
        <w:div w:id="799374369">
          <w:marLeft w:val="0"/>
          <w:marRight w:val="0"/>
          <w:marTop w:val="0"/>
          <w:marBottom w:val="0"/>
          <w:divBdr>
            <w:top w:val="none" w:sz="0" w:space="0" w:color="auto"/>
            <w:left w:val="none" w:sz="0" w:space="0" w:color="auto"/>
            <w:bottom w:val="none" w:sz="0" w:space="0" w:color="auto"/>
            <w:right w:val="none" w:sz="0" w:space="0" w:color="auto"/>
          </w:divBdr>
          <w:divsChild>
            <w:div w:id="1201742935">
              <w:marLeft w:val="0"/>
              <w:marRight w:val="0"/>
              <w:marTop w:val="540"/>
              <w:marBottom w:val="0"/>
              <w:divBdr>
                <w:top w:val="none" w:sz="0" w:space="0" w:color="auto"/>
                <w:left w:val="none" w:sz="0" w:space="0" w:color="auto"/>
                <w:bottom w:val="none" w:sz="0" w:space="0" w:color="auto"/>
                <w:right w:val="none" w:sz="0" w:space="0" w:color="auto"/>
              </w:divBdr>
              <w:divsChild>
                <w:div w:id="1152791144">
                  <w:marLeft w:val="0"/>
                  <w:marRight w:val="0"/>
                  <w:marTop w:val="0"/>
                  <w:marBottom w:val="0"/>
                  <w:divBdr>
                    <w:top w:val="none" w:sz="0" w:space="0" w:color="auto"/>
                    <w:left w:val="none" w:sz="0" w:space="0" w:color="auto"/>
                    <w:bottom w:val="none" w:sz="0" w:space="0" w:color="auto"/>
                    <w:right w:val="none" w:sz="0" w:space="0" w:color="auto"/>
                  </w:divBdr>
                  <w:divsChild>
                    <w:div w:id="1389113789">
                      <w:marLeft w:val="0"/>
                      <w:marRight w:val="0"/>
                      <w:marTop w:val="0"/>
                      <w:marBottom w:val="0"/>
                      <w:divBdr>
                        <w:top w:val="none" w:sz="0" w:space="0" w:color="auto"/>
                        <w:left w:val="none" w:sz="0" w:space="0" w:color="auto"/>
                        <w:bottom w:val="none" w:sz="0" w:space="0" w:color="auto"/>
                        <w:right w:val="none" w:sz="0" w:space="0" w:color="auto"/>
                      </w:divBdr>
                      <w:divsChild>
                        <w:div w:id="2090611169">
                          <w:marLeft w:val="240"/>
                          <w:marRight w:val="0"/>
                          <w:marTop w:val="0"/>
                          <w:marBottom w:val="0"/>
                          <w:divBdr>
                            <w:top w:val="none" w:sz="0" w:space="0" w:color="auto"/>
                            <w:left w:val="none" w:sz="0" w:space="0" w:color="auto"/>
                            <w:bottom w:val="none" w:sz="0" w:space="0" w:color="auto"/>
                            <w:right w:val="none" w:sz="0" w:space="0" w:color="auto"/>
                          </w:divBdr>
                        </w:div>
                        <w:div w:id="167602124">
                          <w:marLeft w:val="240"/>
                          <w:marRight w:val="0"/>
                          <w:marTop w:val="0"/>
                          <w:marBottom w:val="0"/>
                          <w:divBdr>
                            <w:top w:val="none" w:sz="0" w:space="0" w:color="auto"/>
                            <w:left w:val="none" w:sz="0" w:space="0" w:color="auto"/>
                            <w:bottom w:val="none" w:sz="0" w:space="0" w:color="auto"/>
                            <w:right w:val="none" w:sz="0" w:space="0" w:color="auto"/>
                          </w:divBdr>
                        </w:div>
                        <w:div w:id="437724600">
                          <w:marLeft w:val="240"/>
                          <w:marRight w:val="0"/>
                          <w:marTop w:val="0"/>
                          <w:marBottom w:val="0"/>
                          <w:divBdr>
                            <w:top w:val="none" w:sz="0" w:space="0" w:color="auto"/>
                            <w:left w:val="none" w:sz="0" w:space="0" w:color="auto"/>
                            <w:bottom w:val="none" w:sz="0" w:space="0" w:color="auto"/>
                            <w:right w:val="none" w:sz="0" w:space="0" w:color="auto"/>
                          </w:divBdr>
                        </w:div>
                        <w:div w:id="516694954">
                          <w:marLeft w:val="240"/>
                          <w:marRight w:val="0"/>
                          <w:marTop w:val="0"/>
                          <w:marBottom w:val="0"/>
                          <w:divBdr>
                            <w:top w:val="none" w:sz="0" w:space="0" w:color="auto"/>
                            <w:left w:val="none" w:sz="0" w:space="0" w:color="auto"/>
                            <w:bottom w:val="none" w:sz="0" w:space="0" w:color="auto"/>
                            <w:right w:val="none" w:sz="0" w:space="0" w:color="auto"/>
                          </w:divBdr>
                        </w:div>
                        <w:div w:id="963079902">
                          <w:marLeft w:val="240"/>
                          <w:marRight w:val="0"/>
                          <w:marTop w:val="0"/>
                          <w:marBottom w:val="0"/>
                          <w:divBdr>
                            <w:top w:val="none" w:sz="0" w:space="0" w:color="auto"/>
                            <w:left w:val="none" w:sz="0" w:space="0" w:color="auto"/>
                            <w:bottom w:val="none" w:sz="0" w:space="0" w:color="auto"/>
                            <w:right w:val="none" w:sz="0" w:space="0" w:color="auto"/>
                          </w:divBdr>
                        </w:div>
                        <w:div w:id="1836916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7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7C696-0246-4BFD-9E20-01EDF926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ｽﾊﾏ ﾋﾛｱｷ</dc:creator>
  <cp:keywords/>
  <dc:description/>
  <cp:lastModifiedBy>ｽﾊﾏ ﾋﾛｱｷ</cp:lastModifiedBy>
  <cp:revision>2</cp:revision>
  <dcterms:created xsi:type="dcterms:W3CDTF">2020-09-18T02:50:00Z</dcterms:created>
  <dcterms:modified xsi:type="dcterms:W3CDTF">2021-03-05T05:45:00Z</dcterms:modified>
</cp:coreProperties>
</file>